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3" w:rsidRDefault="008E62F3" w:rsidP="00D65E9B">
      <w:pPr>
        <w:rPr>
          <w:sz w:val="28"/>
          <w:szCs w:val="28"/>
        </w:rPr>
      </w:pPr>
    </w:p>
    <w:p w:rsidR="008E62F3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31"/>
        <w:gridCol w:w="389"/>
        <w:gridCol w:w="372"/>
        <w:gridCol w:w="989"/>
        <w:gridCol w:w="398"/>
        <w:gridCol w:w="1246"/>
        <w:gridCol w:w="1325"/>
        <w:gridCol w:w="1094"/>
      </w:tblGrid>
      <w:tr w:rsidR="008E62F3" w:rsidRPr="008E62F3" w:rsidTr="008E62F3">
        <w:trPr>
          <w:trHeight w:val="17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2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E62F3" w:rsidRPr="008E62F3" w:rsidTr="008E62F3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8E62F3" w:rsidRPr="008E62F3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2F3" w:rsidRPr="008E62F3">
        <w:trPr>
          <w:trHeight w:val="170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2F3" w:rsidRPr="008E62F3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E62F3" w:rsidRPr="008E62F3" w:rsidTr="008E62F3">
        <w:trPr>
          <w:trHeight w:val="650"/>
        </w:trPr>
        <w:tc>
          <w:tcPr>
            <w:tcW w:w="4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2022 год и на плановый период 2023 и 2024годы                                                                     </w:t>
            </w:r>
          </w:p>
        </w:tc>
      </w:tr>
      <w:tr w:rsidR="008E62F3" w:rsidRPr="008E62F3">
        <w:trPr>
          <w:trHeight w:val="194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E62F3" w:rsidRPr="008E62F3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8E62F3" w:rsidRPr="008E62F3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62F3" w:rsidRPr="008E62F3">
        <w:trPr>
          <w:trHeight w:val="228"/>
        </w:trPr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8E62F3" w:rsidRP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</w:tr>
      <w:tr w:rsidR="008E62F3" w:rsidRPr="008E62F3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 w:rsidT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rPr>
          <w:trHeight w:val="58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E62F3" w:rsidRPr="008E62F3" w:rsidT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20 0 00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335,09000</w:t>
            </w:r>
          </w:p>
        </w:tc>
      </w:tr>
      <w:tr w:rsidR="008E62F3" w:rsidRPr="008E62F3" w:rsidT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E62F3" w:rsidRPr="008E62F3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8E62F3" w:rsidRPr="008E62F3" w:rsidT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</w:t>
            </w: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финансовому контролю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 w:rsidT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 w:rsidT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8E62F3" w:rsidRP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8E62F3" w:rsidRPr="008E62F3"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8E62F3" w:rsidRPr="008E62F3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8E62F3" w:rsidRPr="008E62F3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Защита населения и территории от чрезвычайных ситуаций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>
        <w:trPr>
          <w:trHeight w:val="2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823,60000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8E62F3" w:rsidRPr="008E62F3" w:rsidT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E62F3" w:rsidRPr="008E62F3" w:rsidTr="008E62F3">
        <w:trPr>
          <w:trHeight w:val="10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7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149,60000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8E62F3" w:rsidRPr="008E62F3" w:rsidTr="008E62F3">
        <w:trPr>
          <w:trHeight w:val="109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56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4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4 112,20000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2 396,80000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 w:rsidTr="008E62F3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1 807,00000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489,80000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8E62F3" w:rsidRPr="008E62F3" w:rsidT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65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proofErr w:type="spell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мероприятий</w:t>
            </w:r>
            <w:proofErr w:type="gram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proofErr w:type="spellStart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</w:t>
            </w:r>
            <w:proofErr w:type="gramStart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,н</w:t>
            </w:r>
            <w:proofErr w:type="gramEnd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аправленные</w:t>
            </w:r>
            <w:proofErr w:type="spellEnd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24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20 5 00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8E62F3" w:rsidRP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8E62F3" w:rsidRPr="008E62F3" w:rsidT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8E62F3" w:rsidRPr="008E62F3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8E62F3" w:rsidRP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rPr>
          <w:trHeight w:val="7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E62F3" w:rsidRPr="008E62F3" w:rsidTr="008E62F3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18 237,21726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14 624,10000</w:t>
            </w:r>
          </w:p>
        </w:tc>
      </w:tr>
    </w:tbl>
    <w:p w:rsidR="008E62F3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</w:t>
      </w:r>
    </w:p>
    <w:p w:rsidR="008E62F3" w:rsidRDefault="008E62F3" w:rsidP="00D65E9B">
      <w:pPr>
        <w:rPr>
          <w:sz w:val="28"/>
          <w:szCs w:val="28"/>
        </w:rPr>
      </w:pPr>
    </w:p>
    <w:p w:rsidR="008E62F3" w:rsidRDefault="008E62F3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374"/>
        <w:gridCol w:w="375"/>
        <w:gridCol w:w="357"/>
        <w:gridCol w:w="953"/>
        <w:gridCol w:w="384"/>
        <w:gridCol w:w="1203"/>
        <w:gridCol w:w="1276"/>
        <w:gridCol w:w="1056"/>
      </w:tblGrid>
      <w:tr w:rsidR="0087066D" w:rsidRPr="0087066D" w:rsidTr="0087066D">
        <w:trPr>
          <w:trHeight w:val="173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7066D" w:rsidRPr="0087066D" w:rsidTr="0087066D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24.12.2022 №39 "О бюджете Борковского сельского поселения на 2022 год и на плановый период 2023 и 2024 годы"</w:t>
            </w:r>
          </w:p>
        </w:tc>
      </w:tr>
      <w:tr w:rsidR="0087066D" w:rsidRPr="0087066D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066D" w:rsidRPr="0087066D">
        <w:trPr>
          <w:trHeight w:val="166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066D" w:rsidRPr="0087066D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066D" w:rsidRPr="0087066D" w:rsidTr="0087066D">
        <w:trPr>
          <w:trHeight w:val="626"/>
        </w:trPr>
        <w:tc>
          <w:tcPr>
            <w:tcW w:w="40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Борковского сельского поселения на 2022 год и на плановый период 2023 и 2024 годы                                                                     </w:t>
            </w:r>
          </w:p>
        </w:tc>
      </w:tr>
      <w:tr w:rsidR="0087066D" w:rsidRPr="0087066D">
        <w:trPr>
          <w:trHeight w:val="187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066D" w:rsidRPr="0087066D"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87066D" w:rsidRPr="0087066D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7066D" w:rsidRPr="0087066D">
        <w:trPr>
          <w:trHeight w:val="218"/>
        </w:trPr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87066D" w:rsidRP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</w:t>
            </w: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87066D" w:rsidRPr="0087066D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rPr>
          <w:trHeight w:val="5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 w:rsidT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 w:rsidT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5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87066D" w:rsidRPr="0087066D" w:rsidTr="0087066D">
        <w:trPr>
          <w:trHeight w:val="55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3366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3366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20 2 00   71420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rPr>
          <w:trHeight w:val="69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 w:rsidT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87066D" w:rsidRP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87066D" w:rsidRPr="0087066D"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87066D" w:rsidRPr="0087066D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87066D" w:rsidRPr="0087066D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5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>
        <w:trPr>
          <w:trHeight w:val="25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rPr>
          <w:trHeight w:val="5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823,60000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87066D" w:rsidRPr="0087066D" w:rsidT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01 0 01 25170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7066D" w:rsidRPr="0087066D" w:rsidTr="0087066D">
        <w:trPr>
          <w:trHeight w:val="103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7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149,60000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87066D" w:rsidRPr="0087066D" w:rsidTr="0087066D">
        <w:trPr>
          <w:trHeight w:val="106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5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4 112,20000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2 396,80000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 w:rsidTr="0087066D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1 807,00000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24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300,00000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1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807,00000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Озеленение территории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489,80000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87066D" w:rsidRPr="0087066D" w:rsidT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62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proofErr w:type="spell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мероприятий</w:t>
            </w:r>
            <w:proofErr w:type="gram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 по реализации приоритетных проектов местных инициатив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23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Молодежная политика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87066D" w:rsidRP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87066D" w:rsidRPr="0087066D" w:rsidT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87066D" w:rsidRPr="0087066D"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87066D" w:rsidRP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rPr>
          <w:trHeight w:val="70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87066D" w:rsidRPr="0087066D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7066D" w:rsidRPr="0087066D" w:rsidTr="0087066D"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18 237,21726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14 624,10000</w:t>
            </w:r>
          </w:p>
        </w:tc>
      </w:tr>
    </w:tbl>
    <w:p w:rsidR="0087066D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</w:t>
      </w:r>
    </w:p>
    <w:p w:rsidR="0087066D" w:rsidRDefault="0087066D" w:rsidP="00D65E9B">
      <w:pPr>
        <w:rPr>
          <w:sz w:val="28"/>
          <w:szCs w:val="28"/>
        </w:rPr>
      </w:pPr>
    </w:p>
    <w:p w:rsidR="0087066D" w:rsidRDefault="0087066D" w:rsidP="00D65E9B">
      <w:pPr>
        <w:rPr>
          <w:sz w:val="28"/>
          <w:szCs w:val="28"/>
        </w:rPr>
      </w:pPr>
    </w:p>
    <w:p w:rsidR="0087066D" w:rsidRDefault="0087066D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4"/>
        <w:gridCol w:w="1042"/>
        <w:gridCol w:w="382"/>
        <w:gridCol w:w="364"/>
        <w:gridCol w:w="459"/>
        <w:gridCol w:w="1224"/>
        <w:gridCol w:w="1301"/>
        <w:gridCol w:w="1075"/>
      </w:tblGrid>
      <w:tr w:rsidR="005F656D" w:rsidRPr="005F656D" w:rsidTr="005F656D"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24.12.2021№ 39"О бюджете Борковского сельского поселения на 2022 год и на плановый период 2023 и 2024 годы"</w:t>
            </w:r>
          </w:p>
        </w:tc>
      </w:tr>
      <w:tr w:rsidR="005F656D" w:rsidRPr="005F656D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656D" w:rsidRPr="005F656D"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656D" w:rsidRPr="005F656D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656D" w:rsidRPr="005F656D" w:rsidTr="005F656D"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2022 год и на плановый период 2023 и 2024 годы                                                                   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656D" w:rsidRPr="005F656D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5F656D" w:rsidRPr="005F656D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656D" w:rsidRPr="005F656D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5F656D" w:rsidRPr="005F656D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9 183,10726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5 543,90000</w:t>
            </w:r>
          </w:p>
        </w:tc>
      </w:tr>
      <w:tr w:rsidR="005F656D" w:rsidRPr="005F656D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5F656D" w:rsidRPr="005F656D" w:rsidTr="005F656D">
        <w:trPr>
          <w:trHeight w:val="54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 w:rsidTr="005F656D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за счет средств муниципального дорожного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 w:rsidTr="005F656D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 w:rsidTr="005F656D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ремонта и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ремонта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01 0 01 71540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ремонта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9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5F656D" w:rsidRPr="005F656D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 w:rsidTr="005F656D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 w:rsidTr="005F656D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 w:rsidTr="005F656D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420,000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rPr>
          <w:trHeight w:val="5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мероприятий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 w:rsidT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Мероприятия по реализации 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приоритетных проектов местных инициатив 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56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 w:rsidTr="005F656D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 w:rsidTr="005F656D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55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9 184,10726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5 543,90000</w:t>
            </w:r>
          </w:p>
        </w:tc>
      </w:tr>
    </w:tbl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71"/>
        <w:gridCol w:w="2009"/>
        <w:gridCol w:w="1303"/>
        <w:gridCol w:w="1378"/>
        <w:gridCol w:w="1332"/>
      </w:tblGrid>
      <w:tr w:rsidR="0047371D" w:rsidRPr="0047371D" w:rsidTr="0047371D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7371D" w:rsidRPr="0047371D" w:rsidTr="0047371D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24.12.2020 №39 "О бюджете Борковского сельского поселения на 2022 год и на плановый период 2023 и 2024 годы"</w:t>
            </w:r>
          </w:p>
        </w:tc>
      </w:tr>
      <w:tr w:rsidR="0047371D" w:rsidRPr="0047371D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rPr>
          <w:trHeight w:val="21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rPr>
          <w:trHeight w:val="13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371D" w:rsidRPr="0047371D" w:rsidTr="0047371D">
        <w:trPr>
          <w:trHeight w:val="446"/>
        </w:trPr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2022 год и на плановый период 2023 и 2024 годы</w:t>
            </w:r>
          </w:p>
        </w:tc>
      </w:tr>
      <w:tr w:rsidR="0047371D" w:rsidRPr="0047371D"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7371D" w:rsidRPr="0047371D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47371D" w:rsidRPr="0047371D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47371D" w:rsidRPr="0047371D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-1 121,61726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7371D" w:rsidRPr="0047371D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-1 121,61726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7371D" w:rsidRPr="0047371D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000 01 05 02 00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000 01 05 02 00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65E9B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                                                        </w:t>
      </w:r>
    </w:p>
    <w:sectPr w:rsidR="00D65E9B" w:rsidRPr="00831D5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65E9B"/>
    <w:rsid w:val="00045C83"/>
    <w:rsid w:val="000967C6"/>
    <w:rsid w:val="000A7E8B"/>
    <w:rsid w:val="000F278E"/>
    <w:rsid w:val="001A1EEC"/>
    <w:rsid w:val="001B0C26"/>
    <w:rsid w:val="00210E38"/>
    <w:rsid w:val="002242CB"/>
    <w:rsid w:val="00255B4A"/>
    <w:rsid w:val="002804F9"/>
    <w:rsid w:val="002E48AC"/>
    <w:rsid w:val="0036127C"/>
    <w:rsid w:val="003A5E32"/>
    <w:rsid w:val="003B00E7"/>
    <w:rsid w:val="003B597F"/>
    <w:rsid w:val="003D5281"/>
    <w:rsid w:val="004076B2"/>
    <w:rsid w:val="0044385E"/>
    <w:rsid w:val="0047371D"/>
    <w:rsid w:val="0048563A"/>
    <w:rsid w:val="004A0F77"/>
    <w:rsid w:val="004C0521"/>
    <w:rsid w:val="00535BEA"/>
    <w:rsid w:val="005379B3"/>
    <w:rsid w:val="00543B80"/>
    <w:rsid w:val="00561B81"/>
    <w:rsid w:val="005F656D"/>
    <w:rsid w:val="0061238C"/>
    <w:rsid w:val="006E1E68"/>
    <w:rsid w:val="0070738D"/>
    <w:rsid w:val="007255CF"/>
    <w:rsid w:val="00733F2D"/>
    <w:rsid w:val="00784A19"/>
    <w:rsid w:val="00786B78"/>
    <w:rsid w:val="007E430C"/>
    <w:rsid w:val="00807588"/>
    <w:rsid w:val="0081792C"/>
    <w:rsid w:val="00831D58"/>
    <w:rsid w:val="008469C2"/>
    <w:rsid w:val="00855158"/>
    <w:rsid w:val="0087066D"/>
    <w:rsid w:val="0087204B"/>
    <w:rsid w:val="00884519"/>
    <w:rsid w:val="008E62F3"/>
    <w:rsid w:val="009A1D8A"/>
    <w:rsid w:val="00A5437A"/>
    <w:rsid w:val="00A81306"/>
    <w:rsid w:val="00AA2CAD"/>
    <w:rsid w:val="00AD0468"/>
    <w:rsid w:val="00B42BCE"/>
    <w:rsid w:val="00B55EF5"/>
    <w:rsid w:val="00B7645C"/>
    <w:rsid w:val="00BB2E50"/>
    <w:rsid w:val="00BB619D"/>
    <w:rsid w:val="00C23223"/>
    <w:rsid w:val="00C55E2E"/>
    <w:rsid w:val="00C74BFA"/>
    <w:rsid w:val="00D01396"/>
    <w:rsid w:val="00D65E9B"/>
    <w:rsid w:val="00DE1FFD"/>
    <w:rsid w:val="00DE3F20"/>
    <w:rsid w:val="00DE749D"/>
    <w:rsid w:val="00E14494"/>
    <w:rsid w:val="00E44AF1"/>
    <w:rsid w:val="00E47A51"/>
    <w:rsid w:val="00E97400"/>
    <w:rsid w:val="00EA60BF"/>
    <w:rsid w:val="00F23E0D"/>
    <w:rsid w:val="00F41591"/>
    <w:rsid w:val="00F6071D"/>
    <w:rsid w:val="00F715BB"/>
    <w:rsid w:val="00F76FDC"/>
    <w:rsid w:val="00F778BE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F9C6-C4B2-4FA0-90BA-46FCBD2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6662</Words>
  <Characters>37974</Characters>
  <Application>Microsoft Office Word</Application>
  <DocSecurity>0</DocSecurity>
  <Lines>316</Lines>
  <Paragraphs>89</Paragraphs>
  <ScaleCrop>false</ScaleCrop>
  <Company>Krokoz™</Company>
  <LinksUpToDate>false</LinksUpToDate>
  <CharactersWithSpaces>44547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Anyuta</cp:lastModifiedBy>
  <cp:revision>2</cp:revision>
  <cp:lastPrinted>2021-07-08T12:42:00Z</cp:lastPrinted>
  <dcterms:created xsi:type="dcterms:W3CDTF">2022-02-20T08:54:00Z</dcterms:created>
  <dcterms:modified xsi:type="dcterms:W3CDTF">2022-02-20T08:54:00Z</dcterms:modified>
</cp:coreProperties>
</file>